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a3141c4b96b543a27ccf236669c3baa4d6a089"/>
      <w:r>
        <w:t xml:space="preserve">Bruce Alderson</w:t>
      </w:r>
      <w:bookmarkEnd w:id="9"/>
    </w:p>
    <w:p>
      <w:pPr>
        <w:pStyle w:val="FirstParagraph"/>
      </w:pPr>
      <w:r>
        <w:rPr>
          <w:b/>
          <w:bCs/>
        </w:rPr>
        <w:t xml:space="preserve">Senior Product Manager</w:t>
      </w:r>
      <w:r>
        <w:br/>
      </w:r>
      <w:r>
        <w:rPr>
          <w:i/>
          <w:iCs/>
        </w:rPr>
        <w:t xml:space="preserve">25 years in product development, operations, and business-driven data analysis</w:t>
      </w:r>
    </w:p>
    <w:p>
      <w:pPr>
        <w:pStyle w:val="BodyText"/>
      </w:pPr>
      <w:r>
        <w:t xml:space="preserve">White Rock, BC · 1.604.807.8812 · bruce.alderson@gmail.com · linkedin.com/in/bruce-alderson · brucealderson.ca</w:t>
      </w:r>
    </w:p>
    <w:p>
      <w:pPr>
        <w:pStyle w:val="Heading2"/>
      </w:pPr>
      <w:bookmarkStart w:id="10" w:name="_summary"/>
      <w:r>
        <w:t xml:space="preserve">Summary</w:t>
      </w:r>
      <w:bookmarkEnd w:id="10"/>
    </w:p>
    <w:p>
      <w:pPr>
        <w:pStyle w:val="FirstParagraph"/>
      </w:pPr>
      <w:r>
        <w:t xml:space="preserve">Highly versatile and experienced senior product manager offering expertise in the full product management lifecycle, high-level strategic planning, and user experience. Proven track record of developing and managing successful products worth up to $1B in annual revenue aligned to strategic objectives, with a focus on data-driven analysis, continuous process improvement, and measurable deliverables.</w:t>
      </w:r>
    </w:p>
    <w:p>
      <w:pPr>
        <w:pStyle w:val="BodyText"/>
      </w:pPr>
      <w:r>
        <w:t xml:space="preserve">Deep technical expertise combined with an understanding of the importance of effective project management, end-user satisfaction, and stakeholder management. Collaborative team leader focused on building relationships to produce highly effective teams, increasing productivity, and improving outcomes.</w:t>
      </w:r>
    </w:p>
    <w:p>
      <w:pPr>
        <w:pStyle w:val="Heading2"/>
      </w:pPr>
      <w:bookmarkStart w:id="11" w:name="_c0de03208e9184249a00d46fa7c84818f5c074a"/>
      <w:r>
        <w:t xml:space="preserve">Core competencies</w:t>
      </w:r>
      <w:bookmarkEnd w:id="11"/>
    </w:p>
    <w:p>
      <w:pPr>
        <w:pStyle w:val="FirstParagraph"/>
      </w:pPr>
      <w:r>
        <w:t xml:space="preserve">Product management · User experience · Cloud integration · Strategic planning · Data &amp; analytics · Cross-functional leadership · ML &amp; AI technology · Product development · Risk mitigation · Operational processes · Software architecture · Agile processes</w:t>
      </w:r>
    </w:p>
    <w:p>
      <w:pPr>
        <w:pStyle w:val="Heading2"/>
      </w:pPr>
      <w:bookmarkStart w:id="12" w:name="_experience"/>
      <w:r>
        <w:t xml:space="preserve">Experience</w:t>
      </w:r>
      <w:bookmarkEnd w:id="12"/>
    </w:p>
    <w:p>
      <w:pPr>
        <w:pStyle w:val="Heading3"/>
        <w:tabs>
          <w:tab w:val="right" w:pos="10512"/>
        </w:tabs>
      </w:pPr>
      <w:r>
        <w:t xml:space="preserve">Northbeam</w:t>
      </w:r>
      <w:r>
        <w:tab/>
      </w:r>
      <w:r>
        <w:rPr>
          <w:b w:val="0"/>
        </w:rPr>
        <w:t>2025–2026</w:t>
      </w:r>
    </w:p>
    <w:p>
      <w:pPr>
        <w:pStyle w:val="Heading4"/>
        <w:tabs>
          <w:tab w:val="right" w:pos="10512"/>
        </w:tabs>
      </w:pPr>
      <w:r>
        <w:t xml:space="preserve">Principal Product Manager</w:t>
      </w:r>
      <w:r>
        <w:tab/>
      </w:r>
      <w:r>
        <w:rPr>
          <w:b w:val="0"/>
        </w:rPr>
        <w:t>2025–2026</w:t>
      </w:r>
    </w:p>
    <w:p>
      <w:pPr>
        <w:pStyle w:val="Compact"/>
        <w:numPr>
          <w:ilvl w:val="0"/>
          <w:numId w:val="1001"/>
        </w:numPr>
      </w:pPr>
      <w:r>
        <w:t xml:space="preserve">Grew the product vision and execution for Northbeam’s multi-touch attribution (MTA) product.</w:t>
      </w:r>
    </w:p>
    <w:p>
      <w:pPr>
        <w:pStyle w:val="Compact"/>
        <w:numPr>
          <w:ilvl w:val="0"/>
          <w:numId w:val="1001"/>
        </w:numPr>
      </w:pPr>
      <w:r>
        <w:t xml:space="preserve">Launched the new 3.0 UI with improved UX and up to 5x faster graph loads.</w:t>
      </w:r>
    </w:p>
    <w:p>
      <w:pPr>
        <w:pStyle w:val="Heading3"/>
        <w:tabs>
          <w:tab w:val="right" w:pos="10512"/>
        </w:tabs>
      </w:pPr>
      <w:r>
        <w:t xml:space="preserve">Intuit Mailchimp</w:t>
      </w:r>
      <w:r>
        <w:tab/>
      </w:r>
      <w:r>
        <w:rPr>
          <w:b w:val="0"/>
        </w:rPr>
        <w:t>2022–2025</w:t>
      </w:r>
    </w:p>
    <w:p>
      <w:pPr>
        <w:pStyle w:val="Heading4"/>
        <w:tabs>
          <w:tab w:val="right" w:pos="10512"/>
        </w:tabs>
      </w:pPr>
      <w:r>
        <w:t xml:space="preserve">Staff Product Manager</w:t>
      </w:r>
      <w:r>
        <w:tab/>
      </w:r>
      <w:r>
        <w:rPr>
          <w:b w:val="0"/>
        </w:rPr>
        <w:t>2023–2025</w:t>
      </w:r>
    </w:p>
    <w:p>
      <w:pPr>
        <w:pStyle w:val="Compact"/>
        <w:numPr>
          <w:ilvl w:val="0"/>
          <w:numId w:val="1002"/>
        </w:numPr>
      </w:pPr>
      <w:r>
        <w:t xml:space="preserve">Oversaw a team of 25 staff to manage a portfolio of products worth $1B, creating product roadmaps and strategic plans and implementing improvements to achieve 99.9% system uptime while increasing customer retention to 80%.</w:t>
      </w:r>
    </w:p>
    <w:p>
      <w:pPr>
        <w:pStyle w:val="Compact"/>
        <w:numPr>
          <w:ilvl w:val="0"/>
          <w:numId w:val="1002"/>
        </w:numPr>
      </w:pPr>
      <w:r>
        <w:t xml:space="preserve">Served as the product lead for a machine learning service, classifying over 100M datapoints in one week of public API endpoint data, linking customer ecommerce revenue to marketing spend across a platform with ~$800M ARR.</w:t>
      </w:r>
    </w:p>
    <w:p>
      <w:pPr>
        <w:pStyle w:val="Compact"/>
        <w:numPr>
          <w:ilvl w:val="0"/>
          <w:numId w:val="1002"/>
        </w:numPr>
      </w:pPr>
      <w:r>
        <w:t xml:space="preserve">Implemented a modernization initiative to improve operational excellence for all 265 public APIs, exceeding 99.99% uptime, lowering failure rates by 35%, and reducing the median request time by 40% (from 1200ms to 500ms).</w:t>
      </w:r>
    </w:p>
    <w:p>
      <w:pPr>
        <w:pStyle w:val="Compact"/>
        <w:numPr>
          <w:ilvl w:val="0"/>
          <w:numId w:val="1002"/>
        </w:numPr>
      </w:pPr>
      <w:r>
        <w:t xml:space="preserve">Introduced new infrastructure to increase data coverage for ecommerce customers by 50 points (from 45% to 95%), enabling the support of event-based data and 7 new types of ecommerce and business patterns.</w:t>
      </w:r>
    </w:p>
    <w:p>
      <w:pPr>
        <w:pStyle w:val="Compact"/>
        <w:numPr>
          <w:ilvl w:val="0"/>
          <w:numId w:val="1002"/>
        </w:numPr>
      </w:pPr>
      <w:r>
        <w:t xml:space="preserve">Streamlined product installation, simplifying the signup flow and optimizing the authentication process to improve installation success for all core integrations by 30 points (from 50% to 80%), and made partner syncs 600% faster.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2022–2023</w:t>
      </w:r>
    </w:p>
    <w:p>
      <w:pPr>
        <w:pStyle w:val="Compact"/>
        <w:numPr>
          <w:ilvl w:val="0"/>
          <w:numId w:val="1003"/>
        </w:numPr>
      </w:pPr>
      <w:r>
        <w:t xml:space="preserve">Led a team of 20 staff and managed a portfolio of 265 public APIs and infrastructure products, developing strategic plans and product roadmaps to ensure teams met 100% of KPI targets.</w:t>
      </w:r>
    </w:p>
    <w:p>
      <w:pPr>
        <w:pStyle w:val="Compact"/>
        <w:numPr>
          <w:ilvl w:val="0"/>
          <w:numId w:val="1003"/>
        </w:numPr>
      </w:pPr>
      <w:r>
        <w:t xml:space="preserve">Managed the public platforms team through a $12B acquisition, spearheading the migration of infrastructure services from GCP to AWS within 2 years while ensuring the project was completed within budget.</w:t>
      </w:r>
    </w:p>
    <w:p>
      <w:pPr>
        <w:pStyle w:val="Compact"/>
        <w:numPr>
          <w:ilvl w:val="0"/>
          <w:numId w:val="1003"/>
        </w:numPr>
      </w:pPr>
      <w:r>
        <w:t xml:space="preserve">Served as an Integrations Product Director and Engineering Director, supervising 5 product managers, 75 product staff, and 50 engineering staff, ensuring continuity of services and projects.</w:t>
      </w:r>
    </w:p>
    <w:p>
      <w:pPr>
        <w:pStyle w:val="Compact"/>
        <w:numPr>
          <w:ilvl w:val="0"/>
          <w:numId w:val="1003"/>
        </w:numPr>
      </w:pPr>
      <w:r>
        <w:t xml:space="preserve">Directed a special growth team, improving the first-use experiences based on measures and VOC to achieve a 6% increase in onboarding success (from 8% to 14%) within 3 months, with an additional 14% growth the following year.</w:t>
      </w:r>
    </w:p>
    <w:p>
      <w:pPr>
        <w:pStyle w:val="Compact"/>
        <w:numPr>
          <w:ilvl w:val="0"/>
          <w:numId w:val="1003"/>
        </w:numPr>
      </w:pPr>
      <w:r>
        <w:t xml:space="preserve">Developed a product to classify public endpoint abuse and TOS violations, reducing spurious and suspicious calls by 75% and improving performance for paid and trial customers by 60%.</w:t>
      </w:r>
    </w:p>
    <w:p>
      <w:pPr>
        <w:pStyle w:val="Compact"/>
        <w:numPr>
          <w:ilvl w:val="0"/>
          <w:numId w:val="1003"/>
        </w:numPr>
      </w:pPr>
      <w:r>
        <w:t xml:space="preserve">Modernized an email-only solution to include SMS based marketing tools, supporting expansion into a $13B global market, and oversaw a project to improve operational excellence, exceeding the target of 500ms median call duration.</w:t>
      </w:r>
    </w:p>
    <w:p>
      <w:pPr>
        <w:pStyle w:val="Heading3"/>
        <w:tabs>
          <w:tab w:val="right" w:pos="10512"/>
        </w:tabs>
      </w:pPr>
      <w:r>
        <w:t xml:space="preserve">Mailchimp </w:t>
      </w:r>
      <w:r>
        <w:rPr>
          <w:b w:val="0"/>
          <w:color w:val="4F545A"/>
          <w:sz w:val="18"/>
        </w:rPr>
        <w:t>(The Rocket Science Group)</w:t>
      </w:r>
      <w:r>
        <w:tab/>
      </w:r>
      <w:r>
        <w:rPr>
          <w:b w:val="0"/>
        </w:rPr>
        <w:t>2019–2022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2021–2022</w:t>
      </w:r>
    </w:p>
    <w:p>
      <w:pPr>
        <w:pStyle w:val="Compact"/>
        <w:numPr>
          <w:ilvl w:val="0"/>
          <w:numId w:val="1004"/>
        </w:numPr>
      </w:pPr>
      <w:r>
        <w:t xml:space="preserve">Managed the public API and infrastructure team of 20 staff to support 60 strategic partners and 300 independent partners, supporting over $900M in annual revenue for the organization.</w:t>
      </w:r>
    </w:p>
    <w:p>
      <w:pPr>
        <w:pStyle w:val="Compact"/>
        <w:numPr>
          <w:ilvl w:val="0"/>
          <w:numId w:val="1004"/>
        </w:numPr>
      </w:pPr>
      <w:r>
        <w:t xml:space="preserve">Oversaw the creation of the ecommerce engineering group, delivering a beta product within 1.5 years, and created a payments product within 6 months, supporting the organization’s strategic goals.</w:t>
      </w:r>
    </w:p>
    <w:p>
      <w:pPr>
        <w:pStyle w:val="Compact"/>
        <w:numPr>
          <w:ilvl w:val="0"/>
          <w:numId w:val="1004"/>
        </w:numPr>
      </w:pPr>
      <w:r>
        <w:t xml:space="preserve">Spearheaded a project to upgrade 10-year-old infrastructure, implementing advanced analysis features to enable customers to measure ROI and improve the conversion to paid customers by 22 points (from 58% to 80%).</w:t>
      </w:r>
    </w:p>
    <w:p>
      <w:pPr>
        <w:pStyle w:val="Heading4"/>
        <w:tabs>
          <w:tab w:val="right" w:pos="10512"/>
        </w:tabs>
      </w:pPr>
      <w:r>
        <w:t xml:space="preserve">Senior Engineering Manager</w:t>
      </w:r>
      <w:r>
        <w:tab/>
      </w:r>
      <w:r>
        <w:rPr>
          <w:b w:val="0"/>
        </w:rPr>
        <w:t>2019–2021</w:t>
      </w:r>
    </w:p>
    <w:p>
      <w:pPr>
        <w:pStyle w:val="Compact"/>
        <w:numPr>
          <w:ilvl w:val="0"/>
          <w:numId w:val="1005"/>
        </w:numPr>
      </w:pPr>
      <w:r>
        <w:t xml:space="preserve">Led engineering for Mailchimp + Commerce initiative reporting to VP Product, scaling team from 5 to 75 engineers (15 direct reports including managers and tech leads) while shipping bi-weekly releases.</w:t>
      </w:r>
    </w:p>
    <w:p>
      <w:pPr>
        <w:pStyle w:val="Compact"/>
        <w:numPr>
          <w:ilvl w:val="0"/>
          <w:numId w:val="1005"/>
        </w:numPr>
      </w:pPr>
      <w:r>
        <w:t xml:space="preserve">Drove post-acquisition integration of LemonStand platform, architecting data migration for 10K merchants and $2B GMV, implementing phased sunset strategy completed on schedule.</w:t>
      </w:r>
    </w:p>
    <w:p>
      <w:pPr>
        <w:pStyle w:val="Compact"/>
        <w:numPr>
          <w:ilvl w:val="0"/>
          <w:numId w:val="1005"/>
        </w:numPr>
      </w:pPr>
      <w:r>
        <w:t xml:space="preserve">Established engineering culture combining startup agility with enterprise reliability: implemented SRE practices, reduced incident response time by 70% and improved deployment frequency from monthly to daily.</w:t>
      </w:r>
    </w:p>
    <w:p>
      <w:pPr>
        <w:pStyle w:val="Compact"/>
        <w:numPr>
          <w:ilvl w:val="0"/>
          <w:numId w:val="1005"/>
        </w:numPr>
      </w:pPr>
      <w:r>
        <w:t xml:space="preserve">Identified product opportunity in payments space through customer interviews and data analysis, presenting business case to leadership; transitioned to PM role to execute vision.</w:t>
      </w:r>
    </w:p>
    <w:p>
      <w:pPr>
        <w:pStyle w:val="Heading3"/>
        <w:tabs>
          <w:tab w:val="right" w:pos="10512"/>
        </w:tabs>
      </w:pPr>
      <w:r>
        <w:t xml:space="preserve">LemonStand eCommerce</w:t>
      </w:r>
      <w:r>
        <w:tab/>
      </w:r>
      <w:r>
        <w:rPr>
          <w:b w:val="0"/>
        </w:rPr>
        <w:t>2014–2019</w:t>
      </w:r>
    </w:p>
    <w:p>
      <w:pPr>
        <w:pStyle w:val="Heading4"/>
        <w:tabs>
          <w:tab w:val="right" w:pos="10512"/>
        </w:tabs>
      </w:pPr>
      <w:r>
        <w:t xml:space="preserve">Chief Technology Officer</w:t>
      </w:r>
      <w:r>
        <w:tab/>
      </w:r>
      <w:r>
        <w:rPr>
          <w:b w:val="0"/>
        </w:rPr>
        <w:t>2014–2019</w:t>
      </w:r>
    </w:p>
    <w:p>
      <w:pPr>
        <w:pStyle w:val="Compact"/>
        <w:numPr>
          <w:ilvl w:val="0"/>
          <w:numId w:val="1006"/>
        </w:numPr>
      </w:pPr>
      <w:r>
        <w:t xml:space="preserve">Led a team of 12 product, engineering, and design staff for a startup, reducing operating costs by 90% (from $250k annually to $20k) and leading the team through a successful $15M+ acquisition.</w:t>
      </w:r>
    </w:p>
    <w:p>
      <w:pPr>
        <w:pStyle w:val="Compact"/>
        <w:numPr>
          <w:ilvl w:val="0"/>
          <w:numId w:val="1006"/>
        </w:numPr>
      </w:pPr>
      <w:r>
        <w:t xml:space="preserve">Built new product features for high-profile customers, including new sales tools and advanced trial features, supporting growth from 100 to 10K merchants, who served over 10M customers of their own.</w:t>
      </w:r>
    </w:p>
    <w:p>
      <w:pPr>
        <w:pStyle w:val="Heading3"/>
        <w:tabs>
          <w:tab w:val="right" w:pos="10512"/>
        </w:tabs>
      </w:pPr>
      <w:r>
        <w:t xml:space="preserve">Discovery Software</w:t>
      </w:r>
      <w:r>
        <w:tab/>
      </w:r>
      <w:r>
        <w:rPr>
          <w:b w:val="0"/>
        </w:rPr>
        <w:t>2004–2014</w:t>
      </w:r>
    </w:p>
    <w:p>
      <w:pPr>
        <w:pStyle w:val="Heading4"/>
        <w:tabs>
          <w:tab w:val="right" w:pos="10512"/>
        </w:tabs>
      </w:pPr>
      <w:r>
        <w:t xml:space="preserve">Architect and CTO</w:t>
      </w:r>
      <w:r>
        <w:tab/>
      </w:r>
      <w:r>
        <w:rPr>
          <w:b w:val="0"/>
        </w:rPr>
        <w:t>2004–2014</w:t>
      </w:r>
    </w:p>
    <w:p>
      <w:pPr>
        <w:pStyle w:val="Compact"/>
        <w:numPr>
          <w:ilvl w:val="0"/>
          <w:numId w:val="1007"/>
        </w:numPr>
      </w:pPr>
      <w:r>
        <w:t xml:space="preserve">Chief developer and co-architect of web, mobile, and desktop software for educators and school administrators: system and UI design, implementation, project management, and review.</w:t>
      </w:r>
    </w:p>
    <w:p>
      <w:pPr>
        <w:pStyle w:val="Compact"/>
        <w:numPr>
          <w:ilvl w:val="0"/>
          <w:numId w:val="1007"/>
        </w:numPr>
      </w:pPr>
      <w:r>
        <w:t xml:space="preserve">Ran software development and IT (systems, strategy, and budgets); senior consultant and technical lead for partner companies, technical and management trainer, and SR&amp;ED technical consultant.</w:t>
      </w:r>
    </w:p>
    <w:p>
      <w:pPr>
        <w:pStyle w:val="Heading2"/>
      </w:pPr>
      <w:bookmarkStart w:id="13" w:name="_a512ffe01eedbc4f912dcaad4eb416ef0160257"/>
      <w:r>
        <w:t xml:space="preserve">Earlier experience</w:t>
      </w:r>
      <w:bookmarkEnd w:id="13"/>
    </w:p>
    <w:p>
      <w:pPr>
        <w:pStyle w:val="Heading4"/>
        <w:tabs>
          <w:tab w:val="right" w:pos="10512"/>
        </w:tabs>
      </w:pPr>
      <w:r>
        <w:t xml:space="preserve">Chief Technology Officer, Napkinware Design Services Ltd.�</w:t>
      </w:r>
      <w:r>
        <w:tab/>
      </w:r>
      <w:r>
        <w:rPr>
          <w:b w:val="0"/>
        </w:rPr>
        <w:t>2009–2014</w:t>
      </w:r>
    </w:p>
    <w:p>
      <w:pPr>
        <w:pStyle w:val="Heading4"/>
        <w:tabs>
          <w:tab w:val="right" w:pos="10512"/>
        </w:tabs>
      </w:pPr>
      <w:r>
        <w:t xml:space="preserve">Consultant, Napkinware Design Services Ltd.�</w:t>
      </w:r>
      <w:r>
        <w:tab/>
      </w:r>
      <w:r>
        <w:rPr>
          <w:b w:val="0"/>
        </w:rPr>
        <w:t>1996–2009</w:t>
      </w:r>
    </w:p>
    <w:p>
      <w:pPr>
        <w:pStyle w:val="Heading4"/>
        <w:tabs>
          <w:tab w:val="right" w:pos="10512"/>
        </w:tabs>
      </w:pPr>
      <w:r>
        <w:t xml:space="preserve">Senior Architect, Triant Technologies</w:t>
      </w:r>
      <w:r>
        <w:tab/>
      </w:r>
      <w:r>
        <w:rPr>
          <w:b w:val="0"/>
        </w:rPr>
        <w:t>1996–2004</w:t>
      </w:r>
    </w:p>
    <w:p>
      <w:pPr>
        <w:pStyle w:val="Heading2"/>
      </w:pPr>
      <w:bookmarkStart w:id="14" w:name="_74cbeae4f9bcf682d04a3a1ec3f8c226bc62f5b"/>
      <w:r>
        <w:t xml:space="preserve">Technical skills</w:t>
      </w:r>
      <w:bookmarkEnd w:id="14"/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Languages &amp; frameworks:</w:t>
      </w:r>
      <w:r>
        <w:t xml:space="preserve"> </w:t>
      </w:r>
      <w:r>
        <w:t xml:space="preserve">Java, C, C++, Assembly, PHP, JavaScript, ReactJS, AngularJS, Node.js, Perl, C#, .NET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Web &amp; data:</w:t>
      </w:r>
      <w:r>
        <w:t xml:space="preserve"> </w:t>
      </w:r>
      <w:r>
        <w:t xml:space="preserve">XML, RESTful web services, SQL, MySQL, Apache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Cloud &amp; tools:</w:t>
      </w:r>
      <w:r>
        <w:t xml:space="preserve"> </w:t>
      </w:r>
      <w:r>
        <w:t xml:space="preserve">AWS, GCP, Visual Studio</w:t>
      </w:r>
    </w:p>
    <w:p>
      <w:pPr>
        <w:pStyle w:val="Heading2"/>
      </w:pPr>
      <w:bookmarkStart w:id="15" w:name="_education"/>
      <w:r>
        <w:t xml:space="preserve">Education</w:t>
      </w:r>
      <w:bookmarkEnd w:id="15"/>
    </w:p>
    <w:p>
      <w:pPr>
        <w:pStyle w:val="FirstParagraph"/>
      </w:pPr>
      <w:r>
        <w:rPr>
          <w:b/>
          <w:bCs/>
        </w:rPr>
        <w:t xml:space="preserve">Undergraduate, Computer Information Systems</w:t>
      </w:r>
      <w:r>
        <w:t xml:space="preserve">,</w:t>
      </w:r>
      <w:r>
        <w:t xml:space="preserve"> </w:t>
      </w:r>
      <w:r>
        <w:rPr>
          <w:i/>
          <w:iCs/>
        </w:rPr>
        <w:t xml:space="preserve">University College of the Fraser Valley</w:t>
      </w:r>
    </w:p>
    <w:sectPr>
      <w:pgSz w:w="12240" w:h="15840"/>
      <w:pgMar w:top="792" w:right="864" w:bottom="864" w:left="864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cs="Georgia" w:eastAsia="Georgia"/>
        <w:color w:val="1B1D20"/>
        <w:sz w:val="20"/>
        <w:szCs w:val="20"/>
        <w:lang w:val="en-CA"/>
      </w:rPr>
    </w:rPrDefault>
    <w:pPrDefault>
      <w:pPr>
        <w:spacing w:after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next w:val="BodyText"/>
    <w:qFormat/>
    <w:pPr>
      <w:spacing w:before="0" w:after="80" w:line="259" w:lineRule="auto"/>
    </w:pPr>
    <w:rPr/>
  </w:style>
  <w:style w:type="paragraph" w:styleId="FirstParagraph">
    <w:name w:val="First Paragraph"/>
    <w:basedOn w:val="BodyText"/>
    <w:next w:val="BodyText"/>
    <w:qFormat/>
    <w:pPr/>
    <w:rPr/>
  </w:style>
  <w:style w:type="paragraph" w:styleId="Compact">
    <w:name w:val="Compact"/>
    <w:basedOn w:val="BodyText"/>
    <w:next w:val="BodyText"/>
    <w:qFormat/>
    <w:pPr>
      <w:spacing w:before="0" w:after="50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qFormat/>
    <w:pPr>
      <w:keepNext/>
      <w:spacing w:before="0" w:after="40"/>
      <w:outlineLvl w:val="0"/>
    </w:pPr>
    <w:rPr>
      <w:rFonts w:ascii="Arial" w:hAnsi="Arial" w:cs="Arial" w:eastAsia="Arial"/>
      <w:b/>
      <w:color w:val="1B1D20"/>
      <w:sz w:val="46"/>
    </w:rPr>
  </w:style>
  <w:style w:type="paragraph" w:styleId="Heading2">
    <w:name w:val="heading 2"/>
    <w:basedOn w:val="Normal"/>
    <w:next w:val="BodyText"/>
    <w:qFormat/>
    <w:pPr>
      <w:keepNext/>
      <w:pBdr>
        <w:bottom w:val="single" w:sz="4" w:space="2" w:color="B9B3A3"/>
      </w:pBdr>
      <w:spacing w:before="220" w:after="100"/>
      <w:outlineLvl w:val="1"/>
    </w:pPr>
    <w:rPr>
      <w:rFonts w:ascii="Arial" w:hAnsi="Arial" w:cs="Arial" w:eastAsia="Arial"/>
      <w:b/>
      <w:caps/>
      <w:color w:val="0F4560"/>
      <w:spacing w:val="30"/>
      <w:sz w:val="16"/>
    </w:rPr>
  </w:style>
  <w:style w:type="paragraph" w:styleId="Heading3">
    <w:name w:val="heading 3"/>
    <w:basedOn w:val="Normal"/>
    <w:next w:val="BodyText"/>
    <w:qFormat/>
    <w:pPr>
      <w:keepNext/>
      <w:tabs>
        <w:tab w:val="right" w:pos="10512"/>
      </w:tabs>
      <w:spacing w:before="180" w:after="20"/>
      <w:outlineLvl w:val="2"/>
    </w:pPr>
    <w:rPr>
      <w:rFonts w:ascii="Arial" w:hAnsi="Arial" w:cs="Arial" w:eastAsia="Arial"/>
      <w:b/>
      <w:color w:val="1B1D20"/>
      <w:sz w:val="22"/>
    </w:rPr>
  </w:style>
  <w:style w:type="paragraph" w:styleId="Heading4">
    <w:name w:val="heading 4"/>
    <w:basedOn w:val="Normal"/>
    <w:next w:val="BodyText"/>
    <w:qFormat/>
    <w:pPr>
      <w:keepNext/>
      <w:tabs>
        <w:tab w:val="right" w:pos="10512"/>
      </w:tabs>
      <w:spacing w:before="100" w:after="40"/>
      <w:outlineLvl w:val="3"/>
    </w:pPr>
    <w:rPr>
      <w:rFonts w:ascii="Arial" w:hAnsi="Arial" w:cs="Arial" w:eastAsia="Arial"/>
      <w:b/>
      <w:color w:val="0F4560"/>
      <w:sz w:val="20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rPr>
      <w:color w:val="1B1D20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2026-10-21T19:36:20Z</dcterms:created>
  <dcterms:modified xsi:type="dcterms:W3CDTF">2026-10-21T19:36:20Z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title">
    <vt:lpwstr>Bruce Alderson</vt:lpwstr>
  </property>
  <property fmtid="{D5CDD505-2E9C-101B-9397-08002B2CF9AE}" pid="3" name="phone">
    <vt:lpwstr>1.604.807.8812</vt:lpwstr>
  </property>
</Properties>
</file>